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pPr>
      <w:r>
        <w:rPr>
          <w:rFonts w:ascii="Arial" w:cs="Arial" w:eastAsia="Arial" w:hAnsi="Arial"/>
          <w:b/>
          <w:bCs/>
          <w:color w:val="003048"/>
          <w:spacing w:val="80"/>
          <w:sz w:val="18"/>
          <w:szCs w:val="18"/>
        </w:rPr>
        <w:t xml:space="preserve">ALL-HANDS ANNOUNCEMENT</w:t>
      </w:r>
    </w:p>
    <w:p>
      <w:pPr>
        <w:spacing w:after="240" w:before="120"/>
      </w:pPr>
      <w:r>
        <w:rPr>
          <w:rFonts w:ascii="Arial" w:cs="Arial" w:eastAsia="Arial" w:hAnsi="Arial"/>
          <w:b/>
          <w:bCs/>
          <w:color w:val="003048"/>
          <w:sz w:val="40"/>
          <w:szCs w:val="40"/>
        </w:rPr>
        <w:t xml:space="preserve">Q2 All-Hands Meeting: Mission Momentum and What's Next</w:t>
      </w:r>
    </w:p>
    <w:p>
      <w:pPr>
        <w:pBdr>
          <w:bottom w:val="single" w:color="D9DEE3" w:sz="6" w:space="8"/>
        </w:pBdr>
        <w:spacing w:after="240" w:before="0"/>
      </w:pPr>
      <w:r>
        <w:rPr>
          <w:rFonts w:ascii="Arial" w:cs="Arial" w:eastAsia="Arial" w:hAnsi="Arial"/>
          <w:color w:val="5A6570"/>
          <w:sz w:val="20"/>
          <w:szCs w:val="20"/>
        </w:rPr>
        <w:t xml:space="preserve">Published May 5, 2026  |  From James Whitfield, Chief Executive Officer</w:t>
      </w:r>
    </w:p>
    <w:p>
      <w:pPr>
        <w:spacing w:after="140" w:before="80" w:line="300"/>
        <w:jc w:val="left"/>
      </w:pPr>
      <w:r>
        <w:rPr>
          <w:rFonts w:ascii="Arial" w:cs="Arial" w:eastAsia="Arial" w:hAnsi="Arial"/>
          <w:b w:val="false"/>
          <w:bCs w:val="false"/>
          <w:i w:val="false"/>
          <w:iCs w:val="false"/>
          <w:color w:val="1A1A1A"/>
          <w:sz w:val="22"/>
          <w:szCs w:val="22"/>
        </w:rPr>
        <w:t xml:space="preserve">Team,</w:t>
      </w:r>
    </w:p>
    <w:p>
      <w:pPr>
        <w:spacing w:after="140" w:before="80" w:line="300"/>
        <w:jc w:val="left"/>
      </w:pPr>
      <w:r>
        <w:rPr>
          <w:rFonts w:ascii="Arial" w:cs="Arial" w:eastAsia="Arial" w:hAnsi="Arial"/>
          <w:b w:val="false"/>
          <w:bCs w:val="false"/>
          <w:i w:val="false"/>
          <w:iCs w:val="false"/>
          <w:color w:val="1A1A1A"/>
          <w:sz w:val="22"/>
          <w:szCs w:val="22"/>
        </w:rPr>
        <w:t xml:space="preserve">Thank you for the work you put in this quarter. In Q1 we served more veteran patients than in any quarter in Ridgeline's history, opened three new markets in the Southwest, and closed the quarter with the highest Net Promoter Score we have ever recorded. None of that happens without the 612 people reading this note. I want to thank you directly.</w:t>
      </w:r>
    </w:p>
    <w:p>
      <w:pPr>
        <w:spacing w:after="140" w:before="80" w:line="300"/>
        <w:jc w:val="left"/>
      </w:pPr>
      <w:r>
        <w:rPr>
          <w:rFonts w:ascii="Arial" w:cs="Arial" w:eastAsia="Arial" w:hAnsi="Arial"/>
          <w:b w:val="false"/>
          <w:bCs w:val="false"/>
          <w:i w:val="false"/>
          <w:iCs w:val="false"/>
          <w:color w:val="1A1A1A"/>
          <w:sz w:val="22"/>
          <w:szCs w:val="22"/>
        </w:rPr>
        <w:t xml:space="preserve">Our Q2 All-Hands will focus on four areas: our Q1 performance, the expansion of our veteran services, operational and compliance progress under Marcus Brennan and Rebecca Sato, and the priorities that will guide us through the rest of 2026. The format, logistics, and agenda are below.</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3E7EB" w:sz="4"/>
              <w:left w:val="single" w:color="FBBF48" w:sz="36"/>
              <w:bottom w:val="single" w:color="E3E7EB" w:sz="4"/>
              <w:right w:val="single" w:color="E3E7EB" w:sz="4"/>
            </w:tcBorders>
            <w:shd w:fill="F7F9FA" w:val="clear"/>
            <w:tcMar>
              <w:top w:type="dxa" w:w="240"/>
              <w:left w:type="dxa" w:w="320"/>
              <w:bottom w:type="dxa" w:w="240"/>
              <w:right w:type="dxa" w:w="320"/>
            </w:tcMar>
          </w:tcPr>
          <w:p>
            <w:pPr>
              <w:spacing w:after="140" w:before="0"/>
            </w:pPr>
            <w:r>
              <w:rPr>
                <w:rFonts w:ascii="Arial" w:cs="Arial" w:eastAsia="Arial" w:hAnsi="Arial"/>
                <w:b/>
                <w:bCs/>
                <w:color w:val="003048"/>
                <w:spacing w:val="80"/>
                <w:sz w:val="18"/>
                <w:szCs w:val="18"/>
              </w:rPr>
              <w:t xml:space="preserve">MEETING DETAILS</w:t>
            </w:r>
          </w:p>
          <w:p>
            <w:pPr>
              <w:tabs>
                <w:tab w:val="left" w:pos="1900"/>
              </w:tabs>
              <w:spacing w:after="30" w:before="30"/>
            </w:pPr>
            <w:r>
              <w:rPr>
                <w:rFonts w:ascii="Arial" w:cs="Arial" w:eastAsia="Arial" w:hAnsi="Arial"/>
                <w:b/>
                <w:bCs/>
                <w:color w:val="003048"/>
                <w:sz w:val="22"/>
                <w:szCs w:val="22"/>
              </w:rPr>
              <w:t xml:space="preserve">Date</w:t>
            </w:r>
            <w:r>
              <w:rPr>
                <w:rFonts w:ascii="Arial" w:cs="Arial" w:eastAsia="Arial" w:hAnsi="Arial"/>
                <w:color w:val="1A1A1A"/>
                <w:sz w:val="22"/>
                <w:szCs w:val="22"/>
              </w:rPr>
              <w:t xml:space="preserve">	Thursday, May 14, 2026</w:t>
            </w:r>
          </w:p>
          <w:p>
            <w:pPr>
              <w:tabs>
                <w:tab w:val="left" w:pos="1900"/>
              </w:tabs>
              <w:spacing w:after="30" w:before="30"/>
            </w:pPr>
            <w:r>
              <w:rPr>
                <w:rFonts w:ascii="Arial" w:cs="Arial" w:eastAsia="Arial" w:hAnsi="Arial"/>
                <w:b/>
                <w:bCs/>
                <w:color w:val="003048"/>
                <w:sz w:val="22"/>
                <w:szCs w:val="22"/>
              </w:rPr>
              <w:t xml:space="preserve">Time</w:t>
            </w:r>
            <w:r>
              <w:rPr>
                <w:rFonts w:ascii="Arial" w:cs="Arial" w:eastAsia="Arial" w:hAnsi="Arial"/>
                <w:color w:val="1A1A1A"/>
                <w:sz w:val="22"/>
                <w:szCs w:val="22"/>
              </w:rPr>
              <w:t xml:space="preserve">	1:00 PM to 2:30 PM ET</w:t>
            </w:r>
          </w:p>
          <w:p>
            <w:pPr>
              <w:tabs>
                <w:tab w:val="left" w:pos="1900"/>
              </w:tabs>
              <w:spacing w:after="30" w:before="30"/>
            </w:pPr>
            <w:r>
              <w:rPr>
                <w:rFonts w:ascii="Arial" w:cs="Arial" w:eastAsia="Arial" w:hAnsi="Arial"/>
                <w:b/>
                <w:bCs/>
                <w:color w:val="003048"/>
                <w:sz w:val="22"/>
                <w:szCs w:val="22"/>
              </w:rPr>
              <w:t xml:space="preserve">Location</w:t>
            </w:r>
            <w:r>
              <w:rPr>
                <w:rFonts w:ascii="Arial" w:cs="Arial" w:eastAsia="Arial" w:hAnsi="Arial"/>
                <w:color w:val="1A1A1A"/>
                <w:sz w:val="22"/>
                <w:szCs w:val="22"/>
              </w:rPr>
              <w:t xml:space="preserve">	Ridgeline HQ, 4500 Gateway Boulevard, 12th Floor</w:t>
            </w:r>
          </w:p>
          <w:p>
            <w:pPr>
              <w:tabs>
                <w:tab w:val="left" w:pos="1900"/>
              </w:tabs>
              <w:spacing w:after="30" w:before="30"/>
            </w:pPr>
            <w:r>
              <w:rPr>
                <w:rFonts w:ascii="Arial" w:cs="Arial" w:eastAsia="Arial" w:hAnsi="Arial"/>
                <w:b/>
                <w:bCs/>
                <w:color w:val="003048"/>
                <w:sz w:val="22"/>
                <w:szCs w:val="22"/>
              </w:rPr>
              <w:t xml:space="preserve"/>
            </w:r>
            <w:r>
              <w:rPr>
                <w:rFonts w:ascii="Arial" w:cs="Arial" w:eastAsia="Arial" w:hAnsi="Arial"/>
                <w:color w:val="1A1A1A"/>
                <w:sz w:val="22"/>
                <w:szCs w:val="22"/>
              </w:rPr>
              <w:t xml:space="preserve">	Magnolia Conference Room, Tampa, FL</w:t>
            </w:r>
          </w:p>
          <w:p>
            <w:pPr>
              <w:tabs>
                <w:tab w:val="left" w:pos="1900"/>
              </w:tabs>
              <w:spacing w:after="30" w:before="30"/>
            </w:pPr>
            <w:r>
              <w:rPr>
                <w:rFonts w:ascii="Arial" w:cs="Arial" w:eastAsia="Arial" w:hAnsi="Arial"/>
                <w:b/>
                <w:bCs/>
                <w:color w:val="003048"/>
                <w:sz w:val="22"/>
                <w:szCs w:val="22"/>
              </w:rPr>
              <w:t xml:space="preserve">Virtual</w:t>
            </w:r>
            <w:r>
              <w:rPr>
                <w:rFonts w:ascii="Arial" w:cs="Arial" w:eastAsia="Arial" w:hAnsi="Arial"/>
                <w:color w:val="1A1A1A"/>
                <w:sz w:val="22"/>
                <w:szCs w:val="22"/>
              </w:rPr>
              <w:t xml:space="preserve">	Zoom link in the calendar invite sent May 5</w:t>
            </w:r>
          </w:p>
          <w:p>
            <w:pPr>
              <w:tabs>
                <w:tab w:val="left" w:pos="1900"/>
              </w:tabs>
              <w:spacing w:after="30" w:before="30"/>
            </w:pPr>
            <w:r>
              <w:rPr>
                <w:rFonts w:ascii="Arial" w:cs="Arial" w:eastAsia="Arial" w:hAnsi="Arial"/>
                <w:b/>
                <w:bCs/>
                <w:color w:val="003048"/>
                <w:sz w:val="22"/>
                <w:szCs w:val="22"/>
              </w:rPr>
              <w:t xml:space="preserve">Audience</w:t>
            </w:r>
            <w:r>
              <w:rPr>
                <w:rFonts w:ascii="Arial" w:cs="Arial" w:eastAsia="Arial" w:hAnsi="Arial"/>
                <w:color w:val="1A1A1A"/>
                <w:sz w:val="22"/>
                <w:szCs w:val="22"/>
              </w:rPr>
              <w:t xml:space="preserve">	All employees, all departments, all locations</w:t>
            </w:r>
          </w:p>
          <w:p>
            <w:pPr>
              <w:tabs>
                <w:tab w:val="left" w:pos="1900"/>
              </w:tabs>
              <w:spacing w:after="30" w:before="30"/>
            </w:pPr>
            <w:r>
              <w:rPr>
                <w:rFonts w:ascii="Arial" w:cs="Arial" w:eastAsia="Arial" w:hAnsi="Arial"/>
                <w:b/>
                <w:bCs/>
                <w:color w:val="003048"/>
                <w:sz w:val="22"/>
                <w:szCs w:val="22"/>
              </w:rPr>
              <w:t xml:space="preserve">Recording</w:t>
            </w:r>
            <w:r>
              <w:rPr>
                <w:rFonts w:ascii="Arial" w:cs="Arial" w:eastAsia="Arial" w:hAnsi="Arial"/>
                <w:color w:val="1A1A1A"/>
                <w:sz w:val="22"/>
                <w:szCs w:val="22"/>
              </w:rPr>
              <w:t xml:space="preserve">	Available within 48 hours in the company portal</w:t>
            </w:r>
          </w:p>
        </w:tc>
      </w:tr>
    </w:tbl>
    <w:p>
      <w:pPr>
        <w:pBdr>
          <w:bottom w:val="single" w:color="FBBF48" w:sz="12" w:space="6"/>
        </w:pBdr>
        <w:spacing w:after="120" w:before="320"/>
      </w:pPr>
      <w:r>
        <w:rPr>
          <w:rFonts w:ascii="Arial" w:cs="Arial" w:eastAsia="Arial" w:hAnsi="Arial"/>
          <w:b/>
          <w:bCs/>
          <w:color w:val="003048"/>
          <w:spacing w:val="40"/>
          <w:sz w:val="22"/>
          <w:szCs w:val="22"/>
        </w:rPr>
        <w:t xml:space="preserve">Q1 SNAPSHOT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580"/>
        <w:gridCol w:w="2580"/>
      </w:tblGrid>
      <w:tr>
        <w:trPr>
          <w:tblHeader/>
        </w:trPr>
        <w:tc>
          <w:tcPr>
            <w:tcW w:type="dxa" w:w="4200"/>
            <w:tcBorders>
              <w:top w:val="single" w:color="D9DEE3" w:sz="4"/>
              <w:left w:val="none" w:color="FFFFFF" w:sz="0"/>
              <w:bottom w:val="single" w:color="D9DEE3" w:sz="4"/>
              <w:right w:val="none" w:color="FFFFFF" w:sz="0"/>
            </w:tcBorders>
            <w:shd w:fill="F7F9FA" w:val="clear"/>
            <w:tcMar>
              <w:top w:type="dxa" w:w="120"/>
              <w:left w:type="dxa" w:w="200"/>
              <w:bottom w:type="dxa" w:w="120"/>
              <w:right w:type="dxa" w:w="200"/>
            </w:tcMar>
          </w:tcPr>
          <w:p>
            <w:pPr>
              <w:spacing w:after="0" w:before="0"/>
              <w:jc w:val="left"/>
            </w:pPr>
            <w:r>
              <w:rPr>
                <w:rFonts w:ascii="Arial" w:cs="Arial" w:eastAsia="Arial" w:hAnsi="Arial"/>
                <w:b/>
                <w:bCs/>
                <w:color w:val="003048"/>
                <w:sz w:val="18"/>
                <w:szCs w:val="18"/>
              </w:rPr>
              <w:t xml:space="preserve">Metric</w:t>
            </w:r>
          </w:p>
        </w:tc>
        <w:tc>
          <w:tcPr>
            <w:tcW w:type="dxa" w:w="2580"/>
            <w:tcBorders>
              <w:top w:val="single" w:color="D9DEE3" w:sz="4"/>
              <w:left w:val="none" w:color="FFFFFF" w:sz="0"/>
              <w:bottom w:val="single" w:color="D9DEE3" w:sz="4"/>
              <w:right w:val="none" w:color="FFFFFF" w:sz="0"/>
            </w:tcBorders>
            <w:shd w:fill="F7F9FA" w:val="clear"/>
            <w:tcMar>
              <w:top w:type="dxa" w:w="120"/>
              <w:left w:type="dxa" w:w="200"/>
              <w:bottom w:type="dxa" w:w="120"/>
              <w:right w:type="dxa" w:w="200"/>
            </w:tcMar>
          </w:tcPr>
          <w:p>
            <w:pPr>
              <w:spacing w:after="0" w:before="0"/>
              <w:jc w:val="right"/>
            </w:pPr>
            <w:r>
              <w:rPr>
                <w:rFonts w:ascii="Arial" w:cs="Arial" w:eastAsia="Arial" w:hAnsi="Arial"/>
                <w:b/>
                <w:bCs/>
                <w:color w:val="003048"/>
                <w:sz w:val="18"/>
                <w:szCs w:val="18"/>
              </w:rPr>
              <w:t xml:space="preserve">Q1 2026</w:t>
            </w:r>
          </w:p>
        </w:tc>
        <w:tc>
          <w:tcPr>
            <w:tcW w:type="dxa" w:w="2580"/>
            <w:tcBorders>
              <w:top w:val="single" w:color="D9DEE3" w:sz="4"/>
              <w:left w:val="none" w:color="FFFFFF" w:sz="0"/>
              <w:bottom w:val="single" w:color="D9DEE3" w:sz="4"/>
              <w:right w:val="none" w:color="FFFFFF" w:sz="0"/>
            </w:tcBorders>
            <w:shd w:fill="F7F9FA" w:val="clear"/>
            <w:tcMar>
              <w:top w:type="dxa" w:w="120"/>
              <w:left w:type="dxa" w:w="200"/>
              <w:bottom w:type="dxa" w:w="120"/>
              <w:right w:type="dxa" w:w="200"/>
            </w:tcMar>
          </w:tcPr>
          <w:p>
            <w:pPr>
              <w:spacing w:after="0" w:before="0"/>
              <w:jc w:val="right"/>
            </w:pPr>
            <w:r>
              <w:rPr>
                <w:rFonts w:ascii="Arial" w:cs="Arial" w:eastAsia="Arial" w:hAnsi="Arial"/>
                <w:b/>
                <w:bCs/>
                <w:color w:val="003048"/>
                <w:sz w:val="18"/>
                <w:szCs w:val="18"/>
              </w:rPr>
              <w:t xml:space="preserve">vs Q1 2025</w:t>
            </w:r>
          </w:p>
        </w:tc>
      </w:tr>
      <w:tr>
        <w:tc>
          <w:tcPr>
            <w:tcW w:type="dxa" w:w="420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left"/>
            </w:pPr>
            <w:r>
              <w:rPr>
                <w:rFonts w:ascii="Arial" w:cs="Arial" w:eastAsia="Arial" w:hAnsi="Arial"/>
                <w:b w:val="false"/>
                <w:bCs w:val="false"/>
                <w:color w:val="1A1A1A"/>
                <w:sz w:val="22"/>
                <w:szCs w:val="22"/>
              </w:rPr>
              <w:t xml:space="preserve">Veteran patients served</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1A1A1A"/>
                <w:sz w:val="22"/>
                <w:szCs w:val="22"/>
              </w:rPr>
              <w:t xml:space="preserve">14,720</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5A6570"/>
                <w:sz w:val="22"/>
                <w:szCs w:val="22"/>
              </w:rPr>
              <w:t xml:space="preserve">+23%</w:t>
            </w:r>
          </w:p>
        </w:tc>
      </w:tr>
      <w:tr>
        <w:tc>
          <w:tcPr>
            <w:tcW w:type="dxa" w:w="420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left"/>
            </w:pPr>
            <w:r>
              <w:rPr>
                <w:rFonts w:ascii="Arial" w:cs="Arial" w:eastAsia="Arial" w:hAnsi="Arial"/>
                <w:b w:val="false"/>
                <w:bCs w:val="false"/>
                <w:color w:val="1A1A1A"/>
                <w:sz w:val="22"/>
                <w:szCs w:val="22"/>
              </w:rPr>
              <w:t xml:space="preserve">States covered</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1A1A1A"/>
                <w:sz w:val="22"/>
                <w:szCs w:val="22"/>
              </w:rPr>
              <w:t xml:space="preserve">38</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5A6570"/>
                <w:sz w:val="22"/>
                <w:szCs w:val="22"/>
              </w:rPr>
              <w:t xml:space="preserve">+4</w:t>
            </w:r>
          </w:p>
        </w:tc>
      </w:tr>
      <w:tr>
        <w:tc>
          <w:tcPr>
            <w:tcW w:type="dxa" w:w="420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left"/>
            </w:pPr>
            <w:r>
              <w:rPr>
                <w:rFonts w:ascii="Arial" w:cs="Arial" w:eastAsia="Arial" w:hAnsi="Arial"/>
                <w:b w:val="false"/>
                <w:bCs w:val="false"/>
                <w:color w:val="1A1A1A"/>
                <w:sz w:val="22"/>
                <w:szCs w:val="22"/>
              </w:rPr>
              <w:t xml:space="preserve">Net Promoter Score</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1A1A1A"/>
                <w:sz w:val="22"/>
                <w:szCs w:val="22"/>
              </w:rPr>
              <w:t xml:space="preserve">72</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5A6570"/>
                <w:sz w:val="22"/>
                <w:szCs w:val="22"/>
              </w:rPr>
              <w:t xml:space="preserve">+8 pts</w:t>
            </w:r>
          </w:p>
        </w:tc>
      </w:tr>
      <w:tr>
        <w:tc>
          <w:tcPr>
            <w:tcW w:type="dxa" w:w="420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left"/>
            </w:pPr>
            <w:r>
              <w:rPr>
                <w:rFonts w:ascii="Arial" w:cs="Arial" w:eastAsia="Arial" w:hAnsi="Arial"/>
                <w:b w:val="false"/>
                <w:bCs w:val="false"/>
                <w:color w:val="1A1A1A"/>
                <w:sz w:val="22"/>
                <w:szCs w:val="22"/>
              </w:rPr>
              <w:t xml:space="preserve">Average intake cycle time</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1A1A1A"/>
                <w:sz w:val="22"/>
                <w:szCs w:val="22"/>
              </w:rPr>
              <w:t xml:space="preserve">6.8 days</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5A6570"/>
                <w:sz w:val="22"/>
                <w:szCs w:val="22"/>
              </w:rPr>
              <w:t xml:space="preserve">from 11.2 days</w:t>
            </w:r>
          </w:p>
        </w:tc>
      </w:tr>
      <w:tr>
        <w:tc>
          <w:tcPr>
            <w:tcW w:type="dxa" w:w="420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left"/>
            </w:pPr>
            <w:r>
              <w:rPr>
                <w:rFonts w:ascii="Arial" w:cs="Arial" w:eastAsia="Arial" w:hAnsi="Arial"/>
                <w:b w:val="false"/>
                <w:bCs w:val="false"/>
                <w:color w:val="1A1A1A"/>
                <w:sz w:val="22"/>
                <w:szCs w:val="22"/>
              </w:rPr>
              <w:t xml:space="preserve">New hires</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1A1A1A"/>
                <w:sz w:val="22"/>
                <w:szCs w:val="22"/>
              </w:rPr>
              <w:t xml:space="preserve">47</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5A6570"/>
                <w:sz w:val="22"/>
                <w:szCs w:val="22"/>
              </w:rPr>
              <w:t xml:space="preserve">across 9 functions</w:t>
            </w:r>
          </w:p>
        </w:tc>
      </w:tr>
      <w:tr>
        <w:tc>
          <w:tcPr>
            <w:tcW w:type="dxa" w:w="420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left"/>
            </w:pPr>
            <w:r>
              <w:rPr>
                <w:rFonts w:ascii="Arial" w:cs="Arial" w:eastAsia="Arial" w:hAnsi="Arial"/>
                <w:b w:val="false"/>
                <w:bCs w:val="false"/>
                <w:color w:val="1A1A1A"/>
                <w:sz w:val="22"/>
                <w:szCs w:val="22"/>
              </w:rPr>
              <w:t xml:space="preserve">Internal promotions</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1A1A1A"/>
                <w:sz w:val="22"/>
                <w:szCs w:val="22"/>
              </w:rPr>
              <w:t xml:space="preserve">12</w:t>
            </w:r>
          </w:p>
        </w:tc>
        <w:tc>
          <w:tcPr>
            <w:tcW w:type="dxa" w:w="2580"/>
            <w:tcBorders>
              <w:top w:val="single" w:color="D9DEE3" w:sz="4"/>
              <w:left w:val="none" w:color="FFFFFF" w:sz="0"/>
              <w:bottom w:val="single" w:color="D9DEE3" w:sz="4"/>
              <w:right w:val="none" w:color="FFFFFF" w:sz="0"/>
            </w:tcBorders>
            <w:shd w:fill="FFFFFF" w:val="clear"/>
            <w:tcMar>
              <w:top w:type="dxa" w:w="120"/>
              <w:left w:type="dxa" w:w="200"/>
              <w:bottom w:type="dxa" w:w="120"/>
              <w:right w:type="dxa" w:w="200"/>
            </w:tcMar>
          </w:tcPr>
          <w:p>
            <w:pPr>
              <w:spacing w:after="0" w:before="0"/>
              <w:jc w:val="right"/>
            </w:pPr>
            <w:r>
              <w:rPr>
                <w:rFonts w:ascii="Arial" w:cs="Arial" w:eastAsia="Arial" w:hAnsi="Arial"/>
                <w:b w:val="false"/>
                <w:bCs w:val="false"/>
                <w:color w:val="5A6570"/>
                <w:sz w:val="22"/>
                <w:szCs w:val="22"/>
              </w:rPr>
              <w:t xml:space="preserve">across 6 departments</w:t>
            </w:r>
          </w:p>
        </w:tc>
      </w:tr>
    </w:tbl>
    <w:p>
      <w:pPr>
        <w:spacing w:after="0" w:before="100"/>
      </w:pPr>
      <w:r>
        <w:rPr>
          <w:rFonts w:ascii="Arial" w:cs="Arial" w:eastAsia="Arial" w:hAnsi="Arial"/>
          <w:i/>
          <w:iCs/>
          <w:color w:val="5A6570"/>
          <w:sz w:val="18"/>
          <w:szCs w:val="18"/>
        </w:rPr>
        <w:t xml:space="preserve">Source: Ridgeline Insights dashboard, pulled May 2, 2026. Figures reflect closed Q1 books and HRIS data of record.</w:t>
      </w:r>
    </w:p>
    <w:p>
      <w:pPr>
        <w:pBdr>
          <w:bottom w:val="single" w:color="FBBF48" w:sz="12" w:space="6"/>
        </w:pBdr>
        <w:spacing w:after="120" w:before="320"/>
      </w:pPr>
      <w:r>
        <w:rPr>
          <w:rFonts w:ascii="Arial" w:cs="Arial" w:eastAsia="Arial" w:hAnsi="Arial"/>
          <w:b/>
          <w:bCs/>
          <w:color w:val="003048"/>
          <w:spacing w:val="40"/>
          <w:sz w:val="22"/>
          <w:szCs w:val="22"/>
        </w:rPr>
        <w:t xml:space="preserve">AGENDA</w:t>
      </w:r>
    </w:p>
    <w:p>
      <w:pPr>
        <w:pStyle w:val="ListParagraph"/>
        <w:numPr>
          <w:ilvl w:val="0"/>
          <w:numId w:val="2"/>
        </w:numPr>
        <w:spacing w:after="80" w:before="80" w:line="280"/>
      </w:pPr>
      <w:r>
        <w:rPr>
          <w:rFonts w:ascii="Arial" w:cs="Arial" w:eastAsia="Arial" w:hAnsi="Arial"/>
          <w:color w:val="1A1A1A"/>
          <w:sz w:val="22"/>
          <w:szCs w:val="22"/>
        </w:rPr>
        <w:t xml:space="preserve">Welcome and Q1 recap</w:t>
      </w:r>
      <w:r>
        <w:rPr>
          <w:rFonts w:ascii="Arial" w:cs="Arial" w:eastAsia="Arial" w:hAnsi="Arial"/>
          <w:i/>
          <w:iCs/>
          <w:color w:val="5A6570"/>
          <w:sz w:val="20"/>
          <w:szCs w:val="20"/>
        </w:rPr>
        <w:t xml:space="preserve">  |  James Whitfield, CEO  |  15 min</w:t>
      </w:r>
    </w:p>
    <w:p>
      <w:pPr>
        <w:pStyle w:val="ListParagraph"/>
        <w:numPr>
          <w:ilvl w:val="0"/>
          <w:numId w:val="2"/>
        </w:numPr>
        <w:spacing w:after="80" w:before="80" w:line="280"/>
      </w:pPr>
      <w:r>
        <w:rPr>
          <w:rFonts w:ascii="Arial" w:cs="Arial" w:eastAsia="Arial" w:hAnsi="Arial"/>
          <w:color w:val="1A1A1A"/>
          <w:sz w:val="22"/>
          <w:szCs w:val="22"/>
        </w:rPr>
        <w:t xml:space="preserve">Veteran services growth and patient impact</w:t>
      </w:r>
      <w:r>
        <w:rPr>
          <w:rFonts w:ascii="Arial" w:cs="Arial" w:eastAsia="Arial" w:hAnsi="Arial"/>
          <w:i/>
          <w:iCs/>
          <w:color w:val="5A6570"/>
          <w:sz w:val="20"/>
          <w:szCs w:val="20"/>
        </w:rPr>
        <w:t xml:space="preserve">  |  Dr. Priya Desai, Chief Medical Officer  |  20 min</w:t>
      </w:r>
    </w:p>
    <w:p>
      <w:pPr>
        <w:pStyle w:val="ListParagraph"/>
        <w:numPr>
          <w:ilvl w:val="0"/>
          <w:numId w:val="2"/>
        </w:numPr>
        <w:spacing w:after="80" w:before="80" w:line="280"/>
      </w:pPr>
      <w:r>
        <w:rPr>
          <w:rFonts w:ascii="Arial" w:cs="Arial" w:eastAsia="Arial" w:hAnsi="Arial"/>
          <w:color w:val="1A1A1A"/>
          <w:sz w:val="22"/>
          <w:szCs w:val="22"/>
        </w:rPr>
        <w:t xml:space="preserve">Operations and compliance update</w:t>
      </w:r>
      <w:r>
        <w:rPr>
          <w:rFonts w:ascii="Arial" w:cs="Arial" w:eastAsia="Arial" w:hAnsi="Arial"/>
          <w:i/>
          <w:iCs/>
          <w:color w:val="5A6570"/>
          <w:sz w:val="20"/>
          <w:szCs w:val="20"/>
        </w:rPr>
        <w:t xml:space="preserve">  |  Marcus Brennan, COO and Rebecca Sato, SVP Compliance  |  15 min</w:t>
      </w:r>
    </w:p>
    <w:p>
      <w:pPr>
        <w:pStyle w:val="ListParagraph"/>
        <w:numPr>
          <w:ilvl w:val="0"/>
          <w:numId w:val="2"/>
        </w:numPr>
        <w:spacing w:after="80" w:before="80" w:line="280"/>
      </w:pPr>
      <w:r>
        <w:rPr>
          <w:rFonts w:ascii="Arial" w:cs="Arial" w:eastAsia="Arial" w:hAnsi="Arial"/>
          <w:color w:val="1A1A1A"/>
          <w:sz w:val="22"/>
          <w:szCs w:val="22"/>
        </w:rPr>
        <w:t xml:space="preserve">People and culture</w:t>
      </w:r>
      <w:r>
        <w:rPr>
          <w:rFonts w:ascii="Arial" w:cs="Arial" w:eastAsia="Arial" w:hAnsi="Arial"/>
          <w:i/>
          <w:iCs/>
          <w:color w:val="5A6570"/>
          <w:sz w:val="20"/>
          <w:szCs w:val="20"/>
        </w:rPr>
        <w:t xml:space="preserve">  |  Aisha Johnson, Chief People Officer  |  15 min</w:t>
      </w:r>
    </w:p>
    <w:p>
      <w:pPr>
        <w:pStyle w:val="ListParagraph"/>
        <w:numPr>
          <w:ilvl w:val="0"/>
          <w:numId w:val="2"/>
        </w:numPr>
        <w:spacing w:after="80" w:before="80" w:line="280"/>
      </w:pPr>
      <w:r>
        <w:rPr>
          <w:rFonts w:ascii="Arial" w:cs="Arial" w:eastAsia="Arial" w:hAnsi="Arial"/>
          <w:color w:val="1A1A1A"/>
          <w:sz w:val="22"/>
          <w:szCs w:val="22"/>
        </w:rPr>
        <w:t xml:space="preserve">Q&amp;A and open floor</w:t>
      </w:r>
      <w:r>
        <w:rPr>
          <w:rFonts w:ascii="Arial" w:cs="Arial" w:eastAsia="Arial" w:hAnsi="Arial"/>
          <w:i/>
          <w:iCs/>
          <w:color w:val="5A6570"/>
          <w:sz w:val="20"/>
          <w:szCs w:val="20"/>
        </w:rPr>
        <w:t xml:space="preserve">  |  Full leadership team  |  25 min</w:t>
      </w:r>
    </w:p>
    <w:p>
      <w:pPr>
        <w:pBdr>
          <w:bottom w:val="single" w:color="FBBF48" w:sz="12" w:space="6"/>
        </w:pBdr>
        <w:spacing w:after="120" w:before="320"/>
      </w:pPr>
      <w:r>
        <w:rPr>
          <w:rFonts w:ascii="Arial" w:cs="Arial" w:eastAsia="Arial" w:hAnsi="Arial"/>
          <w:b/>
          <w:bCs/>
          <w:color w:val="003048"/>
          <w:spacing w:val="40"/>
          <w:sz w:val="22"/>
          <w:szCs w:val="22"/>
        </w:rPr>
        <w:t xml:space="preserve">WHAT LEADERSHIP WILL COVER</w:t>
      </w:r>
    </w:p>
    <w:p>
      <w:pPr>
        <w:spacing w:after="60" w:before="180"/>
      </w:pPr>
      <w:r>
        <w:rPr>
          <w:rFonts w:ascii="Arial" w:cs="Arial" w:eastAsia="Arial" w:hAnsi="Arial"/>
          <w:b/>
          <w:bCs/>
          <w:color w:val="003048"/>
          <w:sz w:val="24"/>
          <w:szCs w:val="24"/>
        </w:rPr>
        <w:t xml:space="preserve">Patient Impact</w:t>
      </w:r>
    </w:p>
    <w:p>
      <w:pPr>
        <w:spacing w:after="140" w:before="80" w:line="300"/>
        <w:jc w:val="left"/>
      </w:pPr>
      <w:r>
        <w:rPr>
          <w:rFonts w:ascii="Arial" w:cs="Arial" w:eastAsia="Arial" w:hAnsi="Arial"/>
          <w:b w:val="false"/>
          <w:bCs w:val="false"/>
          <w:i w:val="false"/>
          <w:iCs w:val="false"/>
          <w:color w:val="1A1A1A"/>
          <w:sz w:val="22"/>
          <w:szCs w:val="22"/>
        </w:rPr>
        <w:t xml:space="preserve">Dr. Desai will walk through the 14,720 veteran patients served in Q1 across 38 states, a 23 percent increase over Q1 2025. She will share three patient stories we have permission to feature, including Staff Sergeant Robert Martinez (Ret.), whose coordinated care case exemplifies the clinical pod model the team has been refining since last summer. She will also recognize the care coordination pod led by Nina Alvarez for delivering the highest patient satisfaction scores in the network two quarters running.</w:t>
      </w:r>
    </w:p>
    <w:p>
      <w:pPr>
        <w:spacing w:after="60" w:before="180"/>
      </w:pPr>
      <w:r>
        <w:rPr>
          <w:rFonts w:ascii="Arial" w:cs="Arial" w:eastAsia="Arial" w:hAnsi="Arial"/>
          <w:b/>
          <w:bCs/>
          <w:color w:val="003048"/>
          <w:sz w:val="24"/>
          <w:szCs w:val="24"/>
        </w:rPr>
        <w:t xml:space="preserve">Operational Strength</w:t>
      </w:r>
    </w:p>
    <w:p>
      <w:pPr>
        <w:spacing w:after="140" w:before="80" w:line="300"/>
        <w:jc w:val="left"/>
      </w:pPr>
      <w:r>
        <w:rPr>
          <w:rFonts w:ascii="Arial" w:cs="Arial" w:eastAsia="Arial" w:hAnsi="Arial"/>
          <w:b w:val="false"/>
          <w:bCs w:val="false"/>
          <w:i w:val="false"/>
          <w:iCs w:val="false"/>
          <w:color w:val="1A1A1A"/>
          <w:sz w:val="22"/>
          <w:szCs w:val="22"/>
        </w:rPr>
        <w:t xml:space="preserve">Operations will cover the Southwest expansion launched March 10, which brought Ridgeline services to Phoenix, Tucson, and Albuquerque. Average intake cycle time finished Q1 at 6.8 days, down from 11.2 days in Q4 2025, driven by the Stream Program led by Marcus Brennan and Jessie Okonkwo. Rebecca Sato will walk through the Q2 audit readiness framework and three compliance process improvements moving into production the week of June 2.</w:t>
      </w:r>
    </w:p>
    <w:p>
      <w:pPr>
        <w:spacing w:after="60" w:before="180"/>
      </w:pPr>
      <w:r>
        <w:rPr>
          <w:rFonts w:ascii="Arial" w:cs="Arial" w:eastAsia="Arial" w:hAnsi="Arial"/>
          <w:b/>
          <w:bCs/>
          <w:color w:val="003048"/>
          <w:sz w:val="24"/>
          <w:szCs w:val="24"/>
        </w:rPr>
        <w:t xml:space="preserve">Team Growth</w:t>
      </w:r>
    </w:p>
    <w:p>
      <w:pPr>
        <w:spacing w:after="140" w:before="80" w:line="300"/>
        <w:jc w:val="left"/>
      </w:pPr>
      <w:r>
        <w:rPr>
          <w:rFonts w:ascii="Arial" w:cs="Arial" w:eastAsia="Arial" w:hAnsi="Arial"/>
          <w:b w:val="false"/>
          <w:bCs w:val="false"/>
          <w:i w:val="false"/>
          <w:iCs w:val="false"/>
          <w:color w:val="1A1A1A"/>
          <w:sz w:val="22"/>
          <w:szCs w:val="22"/>
        </w:rPr>
        <w:t xml:space="preserve">Aisha Johnson will welcome our 47 new hires from Q1, recognize 12 internal promotions, and introduce the Ascent Leadership Program, a six-month development track for high-potential managers launching June 3. Nominations open the week of May 19. She will also celebrate promotions for Tomas Delacroix to Senior Director, Clinical Operations, Hannah Bergstrom to Director, Compliance, and Devin Park to Manager, Veteran Outreach.</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3048" w:sz="4"/>
              <w:left w:val="single" w:color="003048" w:sz="4"/>
              <w:bottom w:val="single" w:color="003048" w:sz="4"/>
              <w:right w:val="single" w:color="003048" w:sz="4"/>
            </w:tcBorders>
            <w:shd w:fill="003048" w:val="clear"/>
            <w:tcMar>
              <w:top w:type="dxa" w:w="300"/>
              <w:left w:type="dxa" w:w="340"/>
              <w:bottom w:type="dxa" w:w="300"/>
              <w:right w:type="dxa" w:w="340"/>
            </w:tcMar>
          </w:tcPr>
          <w:p>
            <w:pPr>
              <w:spacing w:after="100" w:before="0"/>
            </w:pPr>
            <w:r>
              <w:rPr>
                <w:rFonts w:ascii="Arial" w:cs="Arial" w:eastAsia="Arial" w:hAnsi="Arial"/>
                <w:b/>
                <w:bCs/>
                <w:color w:val="FBBF48"/>
                <w:spacing w:val="60"/>
                <w:sz w:val="20"/>
                <w:szCs w:val="20"/>
              </w:rPr>
              <w:t xml:space="preserve">SUBMIT QUESTIONS IN ADVANCE</w:t>
            </w:r>
          </w:p>
          <w:p>
            <w:pPr>
              <w:spacing w:after="0" w:before="0" w:line="300"/>
            </w:pPr>
            <w:r>
              <w:rPr>
                <w:rFonts w:ascii="Arial" w:cs="Arial" w:eastAsia="Arial" w:hAnsi="Arial"/>
                <w:color w:val="F7F9FA"/>
                <w:sz w:val="22"/>
                <w:szCs w:val="22"/>
              </w:rPr>
              <w:t xml:space="preserve">Send questions by Friday, May 10 to communications@ridgelinemedical.com or drop them in the #all-hands-q2 channel. Questions will be prioritized and addressed live. Anonymous submissions go through the HR portal under "Ask Leadership."</w:t>
            </w:r>
          </w:p>
        </w:tc>
      </w:tr>
    </w:tbl>
    <w:p>
      <w:pPr>
        <w:pBdr>
          <w:bottom w:val="single" w:color="FBBF48" w:sz="12" w:space="6"/>
        </w:pBdr>
        <w:spacing w:after="120" w:before="320"/>
      </w:pPr>
      <w:r>
        <w:rPr>
          <w:rFonts w:ascii="Arial" w:cs="Arial" w:eastAsia="Arial" w:hAnsi="Arial"/>
          <w:b/>
          <w:bCs/>
          <w:color w:val="003048"/>
          <w:spacing w:val="40"/>
          <w:sz w:val="22"/>
          <w:szCs w:val="22"/>
        </w:rPr>
        <w:t xml:space="preserve">HOW TO PREPARE</w:t>
      </w:r>
    </w:p>
    <w:p>
      <w:pPr>
        <w:pStyle w:val="ListParagraph"/>
        <w:numPr>
          <w:ilvl w:val="0"/>
          <w:numId w:val="3"/>
        </w:numPr>
        <w:spacing w:after="40" w:before="40" w:line="280"/>
      </w:pPr>
      <w:r>
        <w:rPr>
          <w:rFonts w:ascii="Arial" w:cs="Arial" w:eastAsia="Arial" w:hAnsi="Arial"/>
          <w:color w:val="1A1A1A"/>
          <w:sz w:val="22"/>
          <w:szCs w:val="22"/>
        </w:rPr>
        <w:t xml:space="preserve">Add the May 14 calendar invite to your schedule and confirm your in-person or virtual RSVP.</w:t>
      </w:r>
    </w:p>
    <w:p>
      <w:pPr>
        <w:pStyle w:val="ListParagraph"/>
        <w:numPr>
          <w:ilvl w:val="0"/>
          <w:numId w:val="3"/>
        </w:numPr>
        <w:spacing w:after="40" w:before="40" w:line="280"/>
      </w:pPr>
      <w:r>
        <w:rPr>
          <w:rFonts w:ascii="Arial" w:cs="Arial" w:eastAsia="Arial" w:hAnsi="Arial"/>
          <w:color w:val="1A1A1A"/>
          <w:sz w:val="22"/>
          <w:szCs w:val="22"/>
        </w:rPr>
        <w:t xml:space="preserve">Review the Q1 dashboard in the company portal under Insights, then Q1 2026.</w:t>
      </w:r>
    </w:p>
    <w:p>
      <w:pPr>
        <w:pStyle w:val="ListParagraph"/>
        <w:numPr>
          <w:ilvl w:val="0"/>
          <w:numId w:val="3"/>
        </w:numPr>
        <w:spacing w:after="40" w:before="40" w:line="280"/>
      </w:pPr>
      <w:r>
        <w:rPr>
          <w:rFonts w:ascii="Arial" w:cs="Arial" w:eastAsia="Arial" w:hAnsi="Arial"/>
          <w:color w:val="1A1A1A"/>
          <w:sz w:val="22"/>
          <w:szCs w:val="22"/>
        </w:rPr>
        <w:t xml:space="preserve">Read Dr. Desai's clinical pod pre-read, posted May 8 in the #clinical-excellence channel.</w:t>
      </w:r>
    </w:p>
    <w:p>
      <w:pPr>
        <w:pStyle w:val="ListParagraph"/>
        <w:numPr>
          <w:ilvl w:val="0"/>
          <w:numId w:val="3"/>
        </w:numPr>
        <w:spacing w:after="40" w:before="40" w:line="280"/>
      </w:pPr>
      <w:r>
        <w:rPr>
          <w:rFonts w:ascii="Arial" w:cs="Arial" w:eastAsia="Arial" w:hAnsi="Arial"/>
          <w:color w:val="1A1A1A"/>
          <w:sz w:val="22"/>
          <w:szCs w:val="22"/>
        </w:rPr>
        <w:t xml:space="preserve">Come ready to share one win or one blocker from your team during the Q&amp;A.</w:t>
      </w:r>
    </w:p>
    <w:p>
      <w:pPr>
        <w:pBdr>
          <w:bottom w:val="single" w:color="FBBF48" w:sz="12" w:space="6"/>
        </w:pBdr>
        <w:spacing w:after="120" w:before="320"/>
      </w:pPr>
      <w:r>
        <w:rPr>
          <w:rFonts w:ascii="Arial" w:cs="Arial" w:eastAsia="Arial" w:hAnsi="Arial"/>
          <w:b/>
          <w:bCs/>
          <w:color w:val="003048"/>
          <w:spacing w:val="40"/>
          <w:sz w:val="22"/>
          <w:szCs w:val="22"/>
        </w:rPr>
        <w:t xml:space="preserve">ACCESSIBILITY AND ACCOMMODATIONS</w:t>
      </w:r>
    </w:p>
    <w:p>
      <w:pPr>
        <w:spacing w:after="140" w:before="80" w:line="300"/>
        <w:jc w:val="left"/>
      </w:pPr>
      <w:r>
        <w:rPr>
          <w:rFonts w:ascii="Arial" w:cs="Arial" w:eastAsia="Arial" w:hAnsi="Arial"/>
          <w:b w:val="false"/>
          <w:bCs w:val="false"/>
          <w:i w:val="false"/>
          <w:iCs w:val="false"/>
          <w:color w:val="1A1A1A"/>
          <w:sz w:val="22"/>
          <w:szCs w:val="22"/>
        </w:rPr>
        <w:t xml:space="preserve">Live captioning will be available on the Zoom stream, and an ASL interpreter will be on camera throughout the meeting. Printed agendas in large-print format will be available in the Magnolia Room. For any additional accommodations, contact Mariela Santos, Senior Manager, Employee Experience, at accommodations@ridgelinemedical.com by Monday, May 11.</w:t>
      </w:r>
    </w:p>
    <w:p>
      <w:pPr>
        <w:pBdr>
          <w:bottom w:val="single" w:color="FBBF48" w:sz="12" w:space="6"/>
        </w:pBdr>
        <w:spacing w:after="120" w:before="320"/>
      </w:pPr>
      <w:r>
        <w:rPr>
          <w:rFonts w:ascii="Arial" w:cs="Arial" w:eastAsia="Arial" w:hAnsi="Arial"/>
          <w:b/>
          <w:bCs/>
          <w:color w:val="003048"/>
          <w:spacing w:val="40"/>
          <w:sz w:val="22"/>
          <w:szCs w:val="22"/>
        </w:rPr>
        <w:t xml:space="preserve">RESOURCES AND PRE-READS</w:t>
      </w:r>
    </w:p>
    <w:p>
      <w:pPr>
        <w:pStyle w:val="ListParagraph"/>
        <w:numPr>
          <w:ilvl w:val="0"/>
          <w:numId w:val="3"/>
        </w:numPr>
        <w:spacing w:after="40" w:before="40" w:line="280"/>
      </w:pPr>
      <w:r>
        <w:rPr>
          <w:rFonts w:ascii="Arial" w:cs="Arial" w:eastAsia="Arial" w:hAnsi="Arial"/>
          <w:color w:val="1A1A1A"/>
          <w:sz w:val="22"/>
          <w:szCs w:val="22"/>
        </w:rPr>
        <w:t xml:space="preserve">Q1 2026 Performance Dashboard: portal.ridgelinemedical.com/insights</w:t>
      </w:r>
    </w:p>
    <w:p>
      <w:pPr>
        <w:pStyle w:val="ListParagraph"/>
        <w:numPr>
          <w:ilvl w:val="0"/>
          <w:numId w:val="3"/>
        </w:numPr>
        <w:spacing w:after="40" w:before="40" w:line="280"/>
      </w:pPr>
      <w:r>
        <w:rPr>
          <w:rFonts w:ascii="Arial" w:cs="Arial" w:eastAsia="Arial" w:hAnsi="Arial"/>
          <w:color w:val="1A1A1A"/>
          <w:sz w:val="22"/>
          <w:szCs w:val="22"/>
        </w:rPr>
        <w:t xml:space="preserve">CEO Letter to the Team, published April 28, in the company portal under News.</w:t>
      </w:r>
    </w:p>
    <w:p>
      <w:pPr>
        <w:pStyle w:val="ListParagraph"/>
        <w:numPr>
          <w:ilvl w:val="0"/>
          <w:numId w:val="3"/>
        </w:numPr>
        <w:spacing w:after="40" w:before="40" w:line="280"/>
      </w:pPr>
      <w:r>
        <w:rPr>
          <w:rFonts w:ascii="Arial" w:cs="Arial" w:eastAsia="Arial" w:hAnsi="Arial"/>
          <w:color w:val="1A1A1A"/>
          <w:sz w:val="22"/>
          <w:szCs w:val="22"/>
        </w:rPr>
        <w:t xml:space="preserve">Southwest Expansion One-Pager: portal.ridgelinemedical.com/southwest-2026</w:t>
      </w:r>
    </w:p>
    <w:p>
      <w:pPr>
        <w:pStyle w:val="ListParagraph"/>
        <w:numPr>
          <w:ilvl w:val="0"/>
          <w:numId w:val="3"/>
        </w:numPr>
        <w:spacing w:after="40" w:before="40" w:line="280"/>
      </w:pPr>
      <w:r>
        <w:rPr>
          <w:rFonts w:ascii="Arial" w:cs="Arial" w:eastAsia="Arial" w:hAnsi="Arial"/>
          <w:color w:val="1A1A1A"/>
          <w:sz w:val="22"/>
          <w:szCs w:val="22"/>
        </w:rPr>
        <w:t xml:space="preserve">Ascent Leadership Program overview and nomination guidelines, available May 19.</w:t>
      </w:r>
    </w:p>
    <w:p>
      <w:pPr>
        <w:pBdr>
          <w:bottom w:val="single" w:color="FBBF48" w:sz="12" w:space="6"/>
        </w:pBdr>
        <w:spacing w:after="120" w:before="320"/>
      </w:pPr>
      <w:r>
        <w:rPr>
          <w:rFonts w:ascii="Arial" w:cs="Arial" w:eastAsia="Arial" w:hAnsi="Arial"/>
          <w:b/>
          <w:bCs/>
          <w:color w:val="003048"/>
          <w:spacing w:val="40"/>
          <w:sz w:val="22"/>
          <w:szCs w:val="22"/>
        </w:rPr>
        <w:t xml:space="preserve">CLOSING</w:t>
      </w:r>
    </w:p>
    <w:p>
      <w:pPr>
        <w:spacing w:after="140" w:before="80" w:line="300"/>
        <w:jc w:val="left"/>
      </w:pPr>
      <w:r>
        <w:rPr>
          <w:rFonts w:ascii="Arial" w:cs="Arial" w:eastAsia="Arial" w:hAnsi="Arial"/>
          <w:b w:val="false"/>
          <w:bCs w:val="false"/>
          <w:i w:val="false"/>
          <w:iCs w:val="false"/>
          <w:color w:val="1A1A1A"/>
          <w:sz w:val="22"/>
          <w:szCs w:val="22"/>
        </w:rPr>
        <w:t xml:space="preserve">Thank you again for the work you do for our patients and for each other. We look forward to seeing everyone on May 14, whether in the Magnolia Room or on the line.</w:t>
      </w:r>
    </w:p>
    <w:p>
      <w:pPr>
        <w:spacing w:after="140" w:before="80" w:line="300"/>
        <w:jc w:val="left"/>
      </w:pPr>
      <w:r>
        <w:rPr>
          <w:rFonts w:ascii="Arial" w:cs="Arial" w:eastAsia="Arial" w:hAnsi="Arial"/>
          <w:b w:val="false"/>
          <w:bCs w:val="false"/>
          <w:i/>
          <w:iCs/>
          <w:color w:val="1A1A1A"/>
          <w:sz w:val="22"/>
          <w:szCs w:val="22"/>
        </w:rPr>
        <w:t xml:space="preserve">With appreciation,</w:t>
      </w:r>
    </w:p>
    <w:p>
      <w:pPr>
        <w:spacing w:after="140" w:before="80" w:line="300"/>
        <w:jc w:val="left"/>
      </w:pPr>
      <w:r>
        <w:rPr>
          <w:rFonts w:ascii="Arial" w:cs="Arial" w:eastAsia="Arial" w:hAnsi="Arial"/>
          <w:b/>
          <w:bCs/>
          <w:i w:val="false"/>
          <w:iCs w:val="false"/>
          <w:color w:val="003048"/>
          <w:sz w:val="22"/>
          <w:szCs w:val="22"/>
        </w:rPr>
        <w:t xml:space="preserve">James Whitfield</w:t>
      </w:r>
    </w:p>
    <w:p>
      <w:pPr>
        <w:spacing w:after="0" w:before="0"/>
      </w:pPr>
      <w:r>
        <w:rPr>
          <w:rFonts w:ascii="Arial" w:cs="Arial" w:eastAsia="Arial" w:hAnsi="Arial"/>
          <w:color w:val="5A6570"/>
          <w:sz w:val="20"/>
          <w:szCs w:val="20"/>
        </w:rPr>
        <w:t xml:space="preserve">Chief Executive Officer, Ridgeline Medical</w:t>
      </w:r>
    </w:p>
    <w:sectPr>
      <w:headerReference w:type="default" r:id="rId7"/>
      <w:footerReference w:type="default" r:id="rId8"/>
      <w:pgSz w:w="12240" w:h="15840" w:orient="portrait"/>
      <w:pgMar w:top="180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EE3" w:sz="6" w:space="6"/>
      </w:pBdr>
      <w:jc w:val="center"/>
    </w:pPr>
    <w:r>
      <w:rPr>
        <w:rFonts w:ascii="Arial" w:cs="Arial" w:eastAsia="Arial" w:hAnsi="Arial"/>
        <w:color w:val="5A6570"/>
        <w:sz w:val="18"/>
        <w:szCs w:val="18"/>
      </w:rPr>
      <w:t xml:space="preserve">Prepared by Corporate Communications  |  Ridgeline Medical  |  Internal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none" w:color="FFFFFF" w:sz="0"/>
            <w:left w:val="none" w:color="FFFFFF" w:sz="0"/>
            <w:bottom w:val="single" w:color="003048" w:sz="24"/>
            <w:right w:val="none" w:color="FFFFFF" w:sz="0"/>
          </w:tcBorders>
          <w:tcMar>
            <w:top w:type="dxa" w:w="0"/>
            <w:left w:type="dxa" w:w="0"/>
            <w:bottom w:type="dxa" w:w="120"/>
            <w:right w:type="dxa" w:w="0"/>
          </w:tcMar>
        </w:tcPr>
        <w:p>
          <w:pPr>
            <w:spacing w:after="0" w:before="0"/>
          </w:pPr>
          <w:r>
            <w:rPr>
              <w:rFonts w:ascii="Arial" w:cs="Arial" w:eastAsia="Arial" w:hAnsi="Arial"/>
              <w:b/>
              <w:bCs/>
              <w:color w:val="003048"/>
              <w:spacing w:val="60"/>
              <w:sz w:val="28"/>
              <w:szCs w:val="28"/>
            </w:rPr>
            <w:t xml:space="preserve">RIDGELINE</w:t>
          </w:r>
          <w:r>
            <w:rPr>
              <w:rFonts w:ascii="Arial" w:cs="Arial" w:eastAsia="Arial" w:hAnsi="Arial"/>
              <w:b/>
              <w:bCs/>
              <w:color w:val="FBBF48"/>
              <w:spacing w:val="60"/>
              <w:sz w:val="28"/>
              <w:szCs w:val="28"/>
            </w:rPr>
            <w:t xml:space="preserve">  MEDICAL</w:t>
          </w:r>
        </w:p>
      </w:tc>
      <w:tc>
        <w:tcPr>
          <w:tcW w:type="dxa" w:w="3360"/>
          <w:tcBorders>
            <w:top w:val="none" w:color="FFFFFF" w:sz="0"/>
            <w:left w:val="none" w:color="FFFFFF" w:sz="0"/>
            <w:bottom w:val="single" w:color="FBBF48" w:sz="24"/>
            <w:right w:val="none" w:color="FFFFFF" w:sz="0"/>
          </w:tcBorders>
          <w:tcMar>
            <w:top w:type="dxa" w:w="0"/>
            <w:left w:type="dxa" w:w="0"/>
            <w:bottom w:type="dxa" w:w="120"/>
            <w:right w:type="dxa" w:w="0"/>
          </w:tcMar>
        </w:tcPr>
        <w:p>
          <w:pPr>
            <w:spacing w:after="0" w:before="6"/>
            <w:jc w:val="right"/>
          </w:pPr>
          <w:r>
            <w:rPr>
              <w:rFonts w:ascii="Arial" w:cs="Arial" w:eastAsia="Arial" w:hAnsi="Arial"/>
              <w:i/>
              <w:iCs/>
              <w:color w:val="5A6570"/>
              <w:sz w:val="18"/>
              <w:szCs w:val="18"/>
            </w:rPr>
            <w:t xml:space="preserve">Internal Communication</w:t>
          </w:r>
        </w:p>
      </w:tc>
    </w:tr>
  </w:tbl>
  <w:p>
    <w:pP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rPr>
        <w:rFonts w:ascii="Arial" w:cs="Arial" w:eastAsia="Arial" w:hAnsi="Arial"/>
        <w:b/>
        <w:bCs/>
        <w:color w:val="003048"/>
        <w:sz w:val="22"/>
        <w:szCs w:val="22"/>
      </w:rPr>
    </w:lvl>
  </w:abstractNum>
  <w:abstractNum w:abstractNumId="3" w15:restartNumberingAfterBreak="0">
    <w:multiLevelType w:val="hybridMultilevel"/>
    <w:lvl w:ilvl="0" w15:tentative="1">
      <w:start w:val="1"/>
      <w:numFmt w:val="bullet"/>
      <w:lvlText w:val="•"/>
      <w:lvlJc w:val="left"/>
      <w:pPr>
        <w:ind w:left="540" w:hanging="270"/>
      </w:pPr>
      <w:rPr>
        <w:rFonts w:ascii="Arial" w:cs="Arial" w:eastAsia="Arial" w:hAnsi="Arial"/>
        <w:color w:val="003048"/>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40"/>
      <w:outlineLvl w:val="0"/>
    </w:pPr>
    <w:rPr>
      <w:rFonts w:ascii="Arial" w:cs="Arial" w:eastAsia="Arial" w:hAnsi="Arial"/>
      <w:b/>
      <w:bCs/>
      <w:color w:val="003048"/>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Ridgeline Medical All-Hands Announcement</dc:title>
  <dc:creator>Elizabeth Carpenter</dc:creator>
  <cp:lastModifiedBy>Un-named</cp:lastModifiedBy>
  <cp:revision>1</cp:revision>
  <dcterms:created xsi:type="dcterms:W3CDTF">2026-04-23T11:23:41.436Z</dcterms:created>
  <dcterms:modified xsi:type="dcterms:W3CDTF">2026-04-23T11:23:41.437Z</dcterms:modified>
</cp:coreProperties>
</file>

<file path=docProps/custom.xml><?xml version="1.0" encoding="utf-8"?>
<Properties xmlns="http://schemas.openxmlformats.org/officeDocument/2006/custom-properties" xmlns:vt="http://schemas.openxmlformats.org/officeDocument/2006/docPropsVTypes"/>
</file>